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B14546" w:rsidP="00B14546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B14546" w:rsidP="00B14546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F7552F" w:rsidP="00424F5C">
                  <w:pPr>
                    <w:jc w:val="center"/>
                  </w:pPr>
                  <w:r w:rsidRPr="00F7552F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F7552F" w:rsidP="00A26BB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7552F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сфере 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униципального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жилищного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контроля в муниципально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образовани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и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Ташлинский сельсовет Ташлинского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CF4EC6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EC6" w:rsidRPr="00CF4EC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Ташлинский сельсовет Ташлинского района Оренбургской области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муниципально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Ташлинский сельсовет Ташлинского района Оренбургской области на 2022 год согласно приложению.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</w:t>
      </w:r>
      <w:r w:rsidRPr="004D3AF1">
        <w:rPr>
          <w:rFonts w:ascii="Times New Roman" w:hAnsi="Times New Roman" w:cs="Times New Roman"/>
          <w:sz w:val="28"/>
          <w:szCs w:val="28"/>
        </w:rPr>
        <w:lastRenderedPageBreak/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Ташлинский сельсовет Ташлинского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B14546">
      <w:pPr>
        <w:ind w:right="142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9038A0" w:rsidRDefault="00B14546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F34EF5" w:rsidRPr="00F34EF5" w:rsidRDefault="009038A0" w:rsidP="00B145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B14546">
        <w:rPr>
          <w:rFonts w:ascii="Times New Roman" w:hAnsi="Times New Roman"/>
          <w:sz w:val="16"/>
          <w:szCs w:val="28"/>
        </w:rPr>
        <w:t xml:space="preserve"> </w:t>
      </w:r>
      <w:r w:rsidR="00F34EF5"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Ташлинский сельсовет </w:t>
      </w:r>
    </w:p>
    <w:p w:rsidR="00F34EF5" w:rsidRDefault="00B14546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28</w:t>
      </w:r>
      <w:r w:rsidR="00F34EF5" w:rsidRPr="00F34EF5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2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2022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>
        <w:rPr>
          <w:rFonts w:ascii="Times New Roman" w:hAnsi="Times New Roman"/>
          <w:sz w:val="24"/>
          <w:szCs w:val="28"/>
        </w:rPr>
        <w:t>33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жилищного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Ташлинский сельсовет Ташлинского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также-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F4EC6" w:rsidRPr="00CF4EC6" w:rsidRDefault="00CF4EC6" w:rsidP="00CF4EC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F4EC6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жилищного контроля в </w:t>
      </w:r>
      <w:r w:rsidRPr="00CF4EC6">
        <w:rPr>
          <w:color w:val="000000" w:themeColor="text1"/>
          <w:sz w:val="28"/>
          <w:szCs w:val="28"/>
        </w:rPr>
        <w:t>муниципальном образовании Ташлинский сельсовет Ташлинского района Оренбургской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bookmarkStart w:id="0" w:name="_Hlk82421929"/>
      <w:r>
        <w:rPr>
          <w:color w:val="000000"/>
          <w:sz w:val="28"/>
          <w:szCs w:val="28"/>
        </w:rPr>
        <w:t>муниципальный жилищный контроль</w:t>
      </w:r>
      <w:bookmarkEnd w:id="0"/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>
        <w:rPr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>
        <w:rPr>
          <w:color w:val="000000"/>
          <w:sz w:val="28"/>
          <w:szCs w:val="28"/>
        </w:rPr>
        <w:t>: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CF4EC6" w:rsidRDefault="00CF4EC6" w:rsidP="00CF4EC6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CF4EC6" w:rsidRPr="00CF4EC6" w:rsidRDefault="00CF4EC6" w:rsidP="00CF4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До принятия Федерального закона № 170-ФЗ муниципальный жилищный контроль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rFonts w:ascii="Times New Roman" w:hAnsi="Times New Roman" w:cs="Times New Roman"/>
          <w:sz w:val="28"/>
          <w:szCs w:val="28"/>
        </w:rPr>
        <w:t>на системной основе не осуществлялся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Муниципальный жилищный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контроль </w:t>
      </w:r>
      <w:r w:rsidRPr="00CF4EC6">
        <w:rPr>
          <w:rFonts w:ascii="Times New Roman" w:hAnsi="Times New Roman" w:cs="Times New Roman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2" w:name="_Hlk82510676"/>
      <w:r w:rsidRPr="00CF4EC6">
        <w:rPr>
          <w:rFonts w:ascii="Times New Roman" w:hAnsi="Times New Roman" w:cs="Times New Roman"/>
          <w:sz w:val="28"/>
          <w:szCs w:val="28"/>
        </w:rPr>
        <w:t>жилищного законодательства,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CF4EC6">
        <w:rPr>
          <w:rFonts w:ascii="Times New Roman" w:hAnsi="Times New Roman" w:cs="Times New Roman"/>
          <w:sz w:val="28"/>
          <w:szCs w:val="28"/>
        </w:rPr>
        <w:t>, предусмотренных Кодексом Российской Федерации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правонарушениях. </w:t>
      </w:r>
      <w:r w:rsidRPr="00CF4EC6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ответственности. 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4EC6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EC6">
        <w:rPr>
          <w:sz w:val="28"/>
          <w:szCs w:val="28"/>
        </w:rPr>
        <w:t xml:space="preserve">Профилактическая деятельность в соответствии с </w:t>
      </w:r>
      <w:r w:rsidRPr="00CF4EC6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F4EC6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</w:t>
      </w:r>
      <w:r w:rsidRPr="00CF4EC6">
        <w:rPr>
          <w:color w:val="000000" w:themeColor="text1"/>
          <w:sz w:val="28"/>
          <w:szCs w:val="28"/>
        </w:rPr>
        <w:t xml:space="preserve"> образовани</w:t>
      </w:r>
      <w:r>
        <w:rPr>
          <w:color w:val="000000" w:themeColor="text1"/>
          <w:sz w:val="28"/>
          <w:szCs w:val="28"/>
        </w:rPr>
        <w:t xml:space="preserve">я </w:t>
      </w:r>
      <w:r w:rsidRPr="00CF4EC6">
        <w:rPr>
          <w:color w:val="000000" w:themeColor="text1"/>
          <w:sz w:val="28"/>
          <w:szCs w:val="28"/>
        </w:rPr>
        <w:t>Ташлинский сельсовет Ташлинского района Оренбургской области</w:t>
      </w:r>
      <w:r w:rsidR="00D01089">
        <w:rPr>
          <w:color w:val="000000" w:themeColor="text1"/>
          <w:sz w:val="28"/>
          <w:szCs w:val="28"/>
        </w:rPr>
        <w:t xml:space="preserve"> </w:t>
      </w:r>
      <w:r w:rsidR="00D01089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="00D01089">
        <w:rPr>
          <w:color w:val="000000" w:themeColor="text1"/>
          <w:sz w:val="28"/>
          <w:szCs w:val="28"/>
        </w:rPr>
        <w:t>на системной основе</w:t>
      </w:r>
      <w:r w:rsidR="00D0108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01089">
        <w:rPr>
          <w:b/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B14546" w:rsidRDefault="00B14546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D01089" w:rsidRPr="00D01089" w:rsidRDefault="00E37900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                             </w:t>
      </w:r>
      <w:r w:rsidR="00D01089" w:rsidRPr="00D01089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сроки (периодичность) их проведения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038A0" w:rsidRDefault="009038A0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01089" w:rsidRDefault="00D01089" w:rsidP="00ED4D8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D01089" w:rsidRDefault="00D01089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  <w:p w:rsidR="009038A0" w:rsidRPr="009038A0" w:rsidRDefault="009038A0" w:rsidP="009038A0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9038A0">
              <w:rPr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D01089" w:rsidRPr="009038A0" w:rsidRDefault="009038A0" w:rsidP="00ED4D86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D0108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специалист-юрист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Ведущий специалист -юрист</w:t>
            </w:r>
          </w:p>
        </w:tc>
      </w:tr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администрацией указанных сведений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="00E37900" w:rsidRPr="00E37900">
              <w:rPr>
                <w:color w:val="000000"/>
                <w:lang w:eastAsia="en-US"/>
              </w:rPr>
              <w:t>м</w:t>
            </w:r>
            <w:r w:rsidRPr="00E37900">
              <w:rPr>
                <w:iCs/>
                <w:color w:val="000000"/>
                <w:lang w:eastAsia="en-US"/>
              </w:rPr>
              <w:t>униципального образования</w:t>
            </w:r>
            <w:r w:rsidR="00E37900" w:rsidRPr="00E37900">
              <w:rPr>
                <w:iCs/>
                <w:color w:val="000000"/>
                <w:lang w:eastAsia="en-US"/>
              </w:rPr>
              <w:t xml:space="preserve"> Ташлинский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/>
                <w:lang w:eastAsia="en-US"/>
              </w:rPr>
              <w:lastRenderedPageBreak/>
              <w:t>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01089" w:rsidRDefault="00D01089" w:rsidP="00ED4D86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14546" w:rsidRDefault="00B14546" w:rsidP="00ED4D86">
            <w:pPr>
              <w:rPr>
                <w:color w:val="000000" w:themeColor="text1"/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D01089" w:rsidRPr="00B14546" w:rsidRDefault="00D01089" w:rsidP="00B14546">
            <w:pPr>
              <w:jc w:val="center"/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</w:t>
            </w:r>
            <w:r w:rsidR="00E37900">
              <w:rPr>
                <w:color w:val="000000" w:themeColor="text1"/>
                <w:lang w:eastAsia="en-US"/>
              </w:rPr>
              <w:t>ия,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E37900" w:rsidTr="00ED4D8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</w:tbl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01089" w:rsidRPr="00D01089" w:rsidRDefault="00D01089" w:rsidP="00D01089">
      <w:pPr>
        <w:autoSpaceDE w:val="0"/>
        <w:autoSpaceDN w:val="0"/>
        <w:adjustRightInd w:val="0"/>
        <w:spacing w:line="360" w:lineRule="auto"/>
        <w:jc w:val="both"/>
        <w:rPr>
          <w:b/>
          <w:color w:val="22272F"/>
          <w:sz w:val="28"/>
          <w:szCs w:val="28"/>
        </w:rPr>
      </w:pPr>
    </w:p>
    <w:p w:rsidR="00D01089" w:rsidRDefault="00D01089" w:rsidP="00D010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</w:t>
            </w:r>
            <w:r>
              <w:rPr>
                <w:lang w:eastAsia="en-US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01089" w:rsidRDefault="00D01089" w:rsidP="00D010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муниципального образования Ташлинский сельсовет Ташлинского района Оренбургской области.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Советом депутатов муниципального образования Ташлинский сельсовет Ташлинского района Оренбургской области. </w:t>
      </w: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Совет депутатов муниципального образования Ташлинский сельсовет Ташлинского района Оренбургской области</w:t>
      </w:r>
      <w:r w:rsidRPr="00D0108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</w:t>
      </w:r>
      <w:r>
        <w:rPr>
          <w:color w:val="22272F"/>
          <w:sz w:val="28"/>
          <w:szCs w:val="28"/>
        </w:rPr>
        <w:lastRenderedPageBreak/>
        <w:t>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D01089" w:rsidRPr="00CF4EC6" w:rsidRDefault="00D01089" w:rsidP="00D0108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sectPr w:rsidR="00D01089" w:rsidRPr="00CF4EC6" w:rsidSect="00E37900">
      <w:footerReference w:type="even" r:id="rId7"/>
      <w:pgSz w:w="11906" w:h="16838" w:code="9"/>
      <w:pgMar w:top="1134" w:right="567" w:bottom="28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0A" w:rsidRDefault="00CC2C0A" w:rsidP="006667B3">
      <w:r>
        <w:separator/>
      </w:r>
    </w:p>
  </w:endnote>
  <w:endnote w:type="continuationSeparator" w:id="1">
    <w:p w:rsidR="00CC2C0A" w:rsidRDefault="00CC2C0A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F7552F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CC2C0A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0A" w:rsidRDefault="00CC2C0A" w:rsidP="006667B3">
      <w:r>
        <w:separator/>
      </w:r>
    </w:p>
  </w:footnote>
  <w:footnote w:type="continuationSeparator" w:id="1">
    <w:p w:rsidR="00CC2C0A" w:rsidRDefault="00CC2C0A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5E00A3"/>
    <w:rsid w:val="00023196"/>
    <w:rsid w:val="00036478"/>
    <w:rsid w:val="00066C76"/>
    <w:rsid w:val="00082452"/>
    <w:rsid w:val="000A7080"/>
    <w:rsid w:val="000C4651"/>
    <w:rsid w:val="000C63A9"/>
    <w:rsid w:val="001223FF"/>
    <w:rsid w:val="00122BEC"/>
    <w:rsid w:val="0012695D"/>
    <w:rsid w:val="001368F8"/>
    <w:rsid w:val="00141A0F"/>
    <w:rsid w:val="0017582E"/>
    <w:rsid w:val="001B6EFA"/>
    <w:rsid w:val="001C01A2"/>
    <w:rsid w:val="001D217C"/>
    <w:rsid w:val="00242E5D"/>
    <w:rsid w:val="00290361"/>
    <w:rsid w:val="002A6F00"/>
    <w:rsid w:val="002C138B"/>
    <w:rsid w:val="002C69A7"/>
    <w:rsid w:val="002D5476"/>
    <w:rsid w:val="003007F4"/>
    <w:rsid w:val="00310B9D"/>
    <w:rsid w:val="0033242A"/>
    <w:rsid w:val="00347802"/>
    <w:rsid w:val="00374996"/>
    <w:rsid w:val="00387A62"/>
    <w:rsid w:val="003A6982"/>
    <w:rsid w:val="00467582"/>
    <w:rsid w:val="00475153"/>
    <w:rsid w:val="004902BE"/>
    <w:rsid w:val="004A4C0D"/>
    <w:rsid w:val="004D3AF1"/>
    <w:rsid w:val="00536C71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7DA8"/>
    <w:rsid w:val="008A55B9"/>
    <w:rsid w:val="008B1B69"/>
    <w:rsid w:val="008E3009"/>
    <w:rsid w:val="008E3C84"/>
    <w:rsid w:val="009038A0"/>
    <w:rsid w:val="0091731B"/>
    <w:rsid w:val="009265AB"/>
    <w:rsid w:val="00947BB4"/>
    <w:rsid w:val="009C0DFE"/>
    <w:rsid w:val="009C4AC2"/>
    <w:rsid w:val="00A05E28"/>
    <w:rsid w:val="00A06300"/>
    <w:rsid w:val="00A26BB5"/>
    <w:rsid w:val="00A40EE1"/>
    <w:rsid w:val="00A6121F"/>
    <w:rsid w:val="00A64255"/>
    <w:rsid w:val="00A67588"/>
    <w:rsid w:val="00A8098B"/>
    <w:rsid w:val="00B079E1"/>
    <w:rsid w:val="00B14546"/>
    <w:rsid w:val="00B3254A"/>
    <w:rsid w:val="00B5067C"/>
    <w:rsid w:val="00B54C62"/>
    <w:rsid w:val="00B82964"/>
    <w:rsid w:val="00B91806"/>
    <w:rsid w:val="00B96A68"/>
    <w:rsid w:val="00BF58D4"/>
    <w:rsid w:val="00C0268C"/>
    <w:rsid w:val="00C07F9F"/>
    <w:rsid w:val="00C30507"/>
    <w:rsid w:val="00C47FDF"/>
    <w:rsid w:val="00C66248"/>
    <w:rsid w:val="00C96CDC"/>
    <w:rsid w:val="00CC2C0A"/>
    <w:rsid w:val="00CC5371"/>
    <w:rsid w:val="00CF4EC6"/>
    <w:rsid w:val="00D01089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32D71"/>
    <w:rsid w:val="00E37900"/>
    <w:rsid w:val="00E6190C"/>
    <w:rsid w:val="00E6618A"/>
    <w:rsid w:val="00E74370"/>
    <w:rsid w:val="00EC5020"/>
    <w:rsid w:val="00ED1C05"/>
    <w:rsid w:val="00EE28B2"/>
    <w:rsid w:val="00EF1439"/>
    <w:rsid w:val="00F34EF5"/>
    <w:rsid w:val="00F509A0"/>
    <w:rsid w:val="00F7552F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61</cp:revision>
  <cp:lastPrinted>2022-02-28T12:20:00Z</cp:lastPrinted>
  <dcterms:created xsi:type="dcterms:W3CDTF">2020-02-17T07:42:00Z</dcterms:created>
  <dcterms:modified xsi:type="dcterms:W3CDTF">2022-02-28T12:21:00Z</dcterms:modified>
</cp:coreProperties>
</file>